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lang w:eastAsia="es-ES"/>
              </w:rPr>
              <w:t>Reordenación del tráfico en la GC-15, glorieta de acceso a Santa Brígida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lang w:eastAsia="es-ES"/>
              </w:rPr>
              <w:t>2.1.1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b/>
                <w:color w:val="000000"/>
                <w:lang w:eastAsia="es-ES"/>
              </w:rPr>
              <w:t>2.042.148,99 €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01754">
              <w:rPr>
                <w:rFonts w:cs="Calibri"/>
                <w:w w:val="99"/>
                <w:sz w:val="20"/>
                <w:szCs w:val="20"/>
              </w:rPr>
              <w:t>2.042.148,99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0175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0175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1754">
              <w:rPr>
                <w:rFonts w:ascii="Arial" w:hAnsi="Arial" w:cs="Arial"/>
                <w:b/>
                <w:sz w:val="15"/>
                <w:szCs w:val="15"/>
              </w:rPr>
              <w:t>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1754">
              <w:rPr>
                <w:rFonts w:ascii="Arial" w:hAnsi="Arial" w:cs="Arial"/>
                <w:b/>
                <w:sz w:val="15"/>
                <w:szCs w:val="15"/>
              </w:rPr>
              <w:t>Reordenación del tráfico en la GC-15, glorieta de acceso a Santa Brígida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17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Reordenación del tráfico en la GC-15, glorieta de acceso a Santa Brígida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001754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Acondicionamiento de carreteras"/>
    <w:docVar w:name="denomactuac" w:val="Reordenación del tráfico en la GC-15, glorieta de acceso a Santa Brígid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7"/>
    <w:docVar w:name="FDCANELEG" w:val=" "/>
    <w:docVar w:name="le" w:val="2"/>
    <w:docVar w:name="linea" w:val="Línea 2: Inversión en infraestructuras"/>
    <w:docVar w:name="MUNICIPIO" w:val="Obras Públicas"/>
    <w:docVar w:name="nuactuac" w:val="7"/>
    <w:docVar w:name="NUEVE" w:val=" "/>
    <w:docVar w:name="num" w:val="7.2023"/>
    <w:docVar w:name="numaccion" w:val="2.1.1"/>
    <w:docVar w:name="OCHO" w:val=" "/>
    <w:docVar w:name="SEIS" w:val=" "/>
    <w:docVar w:name="SIETE" w:val=" "/>
    <w:docVar w:name="TOTALGASTOFDCAN" w:val="2042148,9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1064-167B-4072-9FB4-3BEB8FB0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