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Rehabilitación del “Centro de Fátima”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b/>
                <w:bCs/>
                <w:color w:val="000000"/>
                <w:lang w:eastAsia="es-ES"/>
              </w:rPr>
              <w:t>130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b/>
                <w:color w:val="000000"/>
                <w:lang w:eastAsia="es-ES"/>
              </w:rPr>
              <w:t>530.000,00 €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0D02E4">
              <w:rPr>
                <w:rFonts w:cs="Calibri"/>
                <w:w w:val="99"/>
                <w:sz w:val="20"/>
                <w:szCs w:val="20"/>
              </w:rPr>
              <w:t>530.000,00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0D02E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0D02E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D02E4">
              <w:rPr>
                <w:rFonts w:ascii="Arial" w:hAnsi="Arial" w:cs="Arial"/>
                <w:b/>
                <w:sz w:val="15"/>
                <w:szCs w:val="15"/>
              </w:rPr>
              <w:t>130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0D02E4">
              <w:rPr>
                <w:rFonts w:ascii="Arial" w:hAnsi="Arial" w:cs="Arial"/>
                <w:b/>
                <w:sz w:val="15"/>
                <w:szCs w:val="15"/>
              </w:rPr>
              <w:t>Rehabilitación del “Centro de Fátima”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0D02E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del “Centro de Fátima”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0D02E4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Rehabilitación del “Centro de Fátima”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0"/>
    <w:docVar w:name="FDCANELEG" w:val=" "/>
    <w:docVar w:name="le" w:val="2"/>
    <w:docVar w:name="linea" w:val="Línea 2: Inversión en infraestructuras"/>
    <w:docVar w:name="MUNICIPIO" w:val="Presidencia Instalaciones"/>
    <w:docVar w:name="nuactuac" w:val="130"/>
    <w:docVar w:name="NUEVE" w:val=" "/>
    <w:docVar w:name="num" w:val="130.2023"/>
    <w:docVar w:name="numaccion" w:val="2.10.4"/>
    <w:docVar w:name="OCHO" w:val=" "/>
    <w:docVar w:name="SEIS" w:val=" "/>
    <w:docVar w:name="SIETE" w:val=" "/>
    <w:docVar w:name="TOTALGASTOFDCAN" w:val="53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3B71-2660-46C3-B65C-74A42CCD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