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lang w:eastAsia="es-ES"/>
              </w:rPr>
              <w:t>Adaptación y remodelación de inmueble en “C/ Pedro de Algaba”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b/>
                <w:bCs/>
                <w:color w:val="000000"/>
                <w:lang w:eastAsia="es-ES"/>
              </w:rPr>
              <w:t>132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b/>
                <w:color w:val="000000"/>
                <w:lang w:eastAsia="es-ES"/>
              </w:rPr>
              <w:t>240.470,66 €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A7D22">
              <w:rPr>
                <w:rFonts w:cs="Calibri"/>
                <w:w w:val="99"/>
                <w:sz w:val="20"/>
                <w:szCs w:val="20"/>
              </w:rPr>
              <w:t>240.470,66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A7D2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A7D2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A7D22">
              <w:rPr>
                <w:rFonts w:ascii="Arial" w:hAnsi="Arial" w:cs="Arial"/>
                <w:b/>
                <w:sz w:val="15"/>
                <w:szCs w:val="15"/>
              </w:rPr>
              <w:t>132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A7D22">
              <w:rPr>
                <w:rFonts w:ascii="Arial" w:hAnsi="Arial" w:cs="Arial"/>
                <w:b/>
                <w:sz w:val="15"/>
                <w:szCs w:val="15"/>
              </w:rPr>
              <w:t>Adaptación y remodelación de inmueble en “C/ Pedro de Algaba”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A7D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Adaptación y remodelación de inmueble en “C/ Pedro de Algaba”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A7D22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Adaptación y remodelación de inmueble en “C/ Pedro de Algaba”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2"/>
    <w:docVar w:name="FDCANELEG" w:val=" "/>
    <w:docVar w:name="le" w:val="2"/>
    <w:docVar w:name="linea" w:val="Línea 2: Inversión en infraestructuras"/>
    <w:docVar w:name="MUNICIPIO" w:val="Presidencia Instalaciones"/>
    <w:docVar w:name="nuactuac" w:val="132"/>
    <w:docVar w:name="NUEVE" w:val=" "/>
    <w:docVar w:name="num" w:val="132.2023"/>
    <w:docVar w:name="numaccion" w:val="2.10.4"/>
    <w:docVar w:name="OCHO" w:val=" "/>
    <w:docVar w:name="SEIS" w:val=" "/>
    <w:docVar w:name="SIETE" w:val=" "/>
    <w:docVar w:name="TOTALGASTOFDCAN" w:val="240470,66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772D-39AB-4308-BAC9-504E9DC8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