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Obra de acondicionamiento de oficinas de Edificio Humiaga planta 1ª y baja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b/>
                <w:bCs/>
                <w:color w:val="000000"/>
                <w:lang w:eastAsia="es-ES"/>
              </w:rPr>
              <w:t>138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b/>
                <w:color w:val="000000"/>
                <w:lang w:eastAsia="es-ES"/>
              </w:rPr>
              <w:t>175.106,94 €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84476">
              <w:rPr>
                <w:rFonts w:cs="Calibri"/>
                <w:w w:val="99"/>
                <w:sz w:val="20"/>
                <w:szCs w:val="20"/>
              </w:rPr>
              <w:t>175.106,94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8447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8447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84476">
              <w:rPr>
                <w:rFonts w:ascii="Arial" w:hAnsi="Arial" w:cs="Arial"/>
                <w:b/>
                <w:sz w:val="15"/>
                <w:szCs w:val="15"/>
              </w:rPr>
              <w:t>138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84476">
              <w:rPr>
                <w:rFonts w:ascii="Arial" w:hAnsi="Arial" w:cs="Arial"/>
                <w:b/>
                <w:sz w:val="15"/>
                <w:szCs w:val="15"/>
              </w:rPr>
              <w:t>Obra de acondicionamiento de oficinas de Edificio Humiaga planta 1ª y baja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84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 de acondicionamiento de oficinas de Edificio Humiaga planta 1ª y baja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84476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Obra de acondicionamiento de oficinas de Edificio Humiaga planta 1ª y baj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8"/>
    <w:docVar w:name="FDCANELEG" w:val=" "/>
    <w:docVar w:name="le" w:val="2"/>
    <w:docVar w:name="linea" w:val="Línea 2: Inversión en infraestructuras"/>
    <w:docVar w:name="MUNICIPIO" w:val="Presidencia Instalaciones"/>
    <w:docVar w:name="nuactuac" w:val="138"/>
    <w:docVar w:name="NUEVE" w:val=" "/>
    <w:docVar w:name="num" w:val="138.2023"/>
    <w:docVar w:name="numaccion" w:val="2.10.4"/>
    <w:docVar w:name="OCHO" w:val=" "/>
    <w:docVar w:name="SEIS" w:val=" "/>
    <w:docVar w:name="SIETE" w:val=" "/>
    <w:docVar w:name="TOTALGASTOFDCAN" w:val="175106,94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7FA3-F001-4202-A2CD-5B0A2E3D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