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Proyectos de acondicionamiento y mejora del Patrimonio Histórico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b/>
                <w:bCs/>
                <w:color w:val="000000"/>
                <w:lang w:eastAsia="es-ES"/>
              </w:rPr>
              <w:t>148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lang w:eastAsia="es-ES"/>
              </w:rPr>
              <w:t>Presidencia: Patrimonio Histórico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b/>
                <w:color w:val="000000"/>
                <w:lang w:eastAsia="es-ES"/>
              </w:rPr>
              <w:t>1.000.000,00 €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A4BBA">
              <w:rPr>
                <w:rFonts w:cs="Calibri"/>
                <w:w w:val="99"/>
                <w:sz w:val="20"/>
                <w:szCs w:val="20"/>
              </w:rPr>
              <w:t>1.000.000,00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A4BB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A4BB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A4BBA">
              <w:rPr>
                <w:rFonts w:ascii="Arial" w:hAnsi="Arial" w:cs="Arial"/>
                <w:b/>
                <w:sz w:val="15"/>
                <w:szCs w:val="15"/>
              </w:rPr>
              <w:t>148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A4BBA">
              <w:rPr>
                <w:rFonts w:ascii="Arial" w:hAnsi="Arial" w:cs="Arial"/>
                <w:b/>
                <w:sz w:val="15"/>
                <w:szCs w:val="15"/>
              </w:rPr>
              <w:t>Proyectos de acondicionamiento y mejora del Patrimonio Histórico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A4BB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Proyectos de acondicionamiento y mejora del Patrimonio Histórico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A4BBA">
        <w:t>Presidencia Patrimonio Histórico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Patrimonio Histórico"/>
    <w:docVar w:name="C-A" w:val="C"/>
    <w:docVar w:name="CINCO" w:val=" "/>
    <w:docVar w:name="codayto" w:val=" "/>
    <w:docVar w:name="CUATRO" w:val=" "/>
    <w:docVar w:name="denomaccion" w:val="Actuaciones en Patrimonio Historíco y Cultural con potencialidad turística"/>
    <w:docVar w:name="denomactuac" w:val="Proyectos de acondicionamiento y mejora del Patrimonio Histórico de Gran Canari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48"/>
    <w:docVar w:name="FDCANELEG" w:val=" "/>
    <w:docVar w:name="le" w:val="2"/>
    <w:docVar w:name="linea" w:val="Línea 2: Inversión en infraestructuras"/>
    <w:docVar w:name="MUNICIPIO" w:val="Presidencia Patrimonio Histórico"/>
    <w:docVar w:name="nuactuac" w:val="148"/>
    <w:docVar w:name="NUEVE" w:val=" "/>
    <w:docVar w:name="num" w:val="148.2023"/>
    <w:docVar w:name="numaccion" w:val="2.3.1"/>
    <w:docVar w:name="OCHO" w:val=" "/>
    <w:docVar w:name="SEIS" w:val=" "/>
    <w:docVar w:name="SIETE" w:val=" "/>
    <w:docVar w:name="TOTALGASTOFDCAN" w:val="10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931E-5364-4E01-9AE1-3640D74C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