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273A0">
              <w:rPr>
                <w:rFonts w:eastAsia="Times New Roman" w:cs="Calibri"/>
                <w:color w:val="000000"/>
                <w:lang w:eastAsia="es-ES"/>
              </w:rPr>
              <w:t>Acondicionamiento Centro Internacional de windsurfing (Santa Lucía de Tirajana)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5273A0">
              <w:rPr>
                <w:rFonts w:eastAsia="Times New Roman" w:cs="Calibri"/>
                <w:b/>
                <w:bCs/>
                <w:color w:val="000000"/>
                <w:lang w:eastAsia="es-ES"/>
              </w:rPr>
              <w:t>298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273A0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273A0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273A0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273A0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273A0">
              <w:rPr>
                <w:rFonts w:eastAsia="Times New Roman" w:cs="Calibri"/>
                <w:color w:val="000000"/>
                <w:lang w:eastAsia="es-ES"/>
              </w:rPr>
              <w:t>Turismo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5273A0">
              <w:rPr>
                <w:rFonts w:eastAsia="Times New Roman" w:cs="Calibri"/>
                <w:b/>
                <w:color w:val="000000"/>
                <w:lang w:eastAsia="es-ES"/>
              </w:rPr>
              <w:t>800.000,00 €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5273A0">
              <w:rPr>
                <w:rFonts w:cs="Calibri"/>
                <w:w w:val="99"/>
                <w:sz w:val="20"/>
                <w:szCs w:val="20"/>
              </w:rPr>
              <w:t>800.000,00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5273A0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5273A0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73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73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73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273A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273A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73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73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73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73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273A0">
              <w:rPr>
                <w:rFonts w:ascii="Arial" w:hAnsi="Arial" w:cs="Arial"/>
                <w:b/>
                <w:sz w:val="15"/>
                <w:szCs w:val="15"/>
              </w:rPr>
              <w:t>298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273A0">
              <w:rPr>
                <w:rFonts w:ascii="Arial" w:hAnsi="Arial" w:cs="Arial"/>
                <w:b/>
                <w:sz w:val="15"/>
                <w:szCs w:val="15"/>
              </w:rPr>
              <w:t>Acondicionamiento Centro Internacional de windsurfing (Santa Lucía de Tirajana)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73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298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73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Acondicionamiento Centro Internacional de windsurfing (Santa Lucía de Tirajana)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5273A0">
        <w:t>Turismo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Turismo"/>
    <w:docVar w:name="C-A" w:val="C"/>
    <w:docVar w:name="CINCO" w:val=" "/>
    <w:docVar w:name="codayto" w:val=" "/>
    <w:docVar w:name="CUATRO" w:val=" "/>
    <w:docVar w:name="denomaccion" w:val="Actuaciones en espacios públicos de alta potencialidad turística"/>
    <w:docVar w:name="denomactuac" w:val="Acondicionamiento Centro Internacional de windsurfing (Santa Lucía de Tirajana)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298"/>
    <w:docVar w:name="FDCANELEG" w:val=" "/>
    <w:docVar w:name="le" w:val="2"/>
    <w:docVar w:name="linea" w:val="Línea 2: Inversión en infraestructuras"/>
    <w:docVar w:name="MUNICIPIO" w:val="Turismo"/>
    <w:docVar w:name="nuactuac" w:val="298"/>
    <w:docVar w:name="NUEVE" w:val=" "/>
    <w:docVar w:name="num" w:val="298.2023"/>
    <w:docVar w:name="numaccion" w:val="2.3.8"/>
    <w:docVar w:name="OCHO" w:val=" "/>
    <w:docVar w:name="SEIS" w:val=" "/>
    <w:docVar w:name="SIETE" w:val=" "/>
    <w:docVar w:name="TOTALGASTOFDCAN" w:val="800000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5A06"/>
    <w:rsid w:val="00502F81"/>
    <w:rsid w:val="00522498"/>
    <w:rsid w:val="005273A0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220E"/>
    <w:rsid w:val="00C63949"/>
    <w:rsid w:val="00C64F98"/>
    <w:rsid w:val="00C66B69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2E84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1473B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12803-4BB4-41A3-A66D-3547295B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