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color w:val="000000"/>
                <w:lang w:eastAsia="es-ES"/>
              </w:rPr>
              <w:t>Rehabilitación y Equipamiento Aula de la Naturaleza El Palmital (Sta. Mº de Guía)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b/>
                <w:bCs/>
                <w:color w:val="000000"/>
                <w:lang w:eastAsia="es-ES"/>
              </w:rPr>
              <w:t>299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color w:val="000000"/>
                <w:lang w:eastAsia="es-ES"/>
              </w:rPr>
              <w:t>Turismo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b/>
                <w:color w:val="000000"/>
                <w:lang w:eastAsia="es-ES"/>
              </w:rPr>
              <w:t>495.000,00 €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C05F5F">
              <w:rPr>
                <w:rFonts w:cs="Calibri"/>
                <w:w w:val="99"/>
                <w:sz w:val="20"/>
                <w:szCs w:val="20"/>
              </w:rPr>
              <w:t>495.000,00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C05F5F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C05F5F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05F5F">
              <w:rPr>
                <w:rFonts w:ascii="Arial" w:hAnsi="Arial" w:cs="Arial"/>
                <w:b/>
                <w:sz w:val="15"/>
                <w:szCs w:val="15"/>
              </w:rPr>
              <w:t>299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05F5F">
              <w:rPr>
                <w:rFonts w:ascii="Arial" w:hAnsi="Arial" w:cs="Arial"/>
                <w:b/>
                <w:sz w:val="15"/>
                <w:szCs w:val="15"/>
              </w:rPr>
              <w:t>Rehabilitación y Equipamiento Aula de la Naturaleza El Palmital (Sta. Mº de Guía)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299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05F5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Rehabilitación y Equipamiento Aula de la Naturaleza El Palmital (Sta. Mº de Guía)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C05F5F">
        <w:t>Turismo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Turismo"/>
    <w:docVar w:name="C-A" w:val="C"/>
    <w:docVar w:name="CINCO" w:val=" "/>
    <w:docVar w:name="codayto" w:val=" "/>
    <w:docVar w:name="CUATRO" w:val=" "/>
    <w:docVar w:name="denomaccion" w:val="Actuaciones en espacios públicos de alta potencialidad turística"/>
    <w:docVar w:name="denomactuac" w:val="Rehabilitación y Equipamiento Aula de la Naturaleza El Palmital (Sta. Mº de Guía)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299"/>
    <w:docVar w:name="FDCANELEG" w:val=" "/>
    <w:docVar w:name="le" w:val="2"/>
    <w:docVar w:name="linea" w:val="Línea 2: Inversión en infraestructuras"/>
    <w:docVar w:name="MUNICIPIO" w:val="Turismo"/>
    <w:docVar w:name="nuactuac" w:val="299"/>
    <w:docVar w:name="NUEVE" w:val=" "/>
    <w:docVar w:name="num" w:val="299.2023"/>
    <w:docVar w:name="numaccion" w:val="2.3.8"/>
    <w:docVar w:name="OCHO" w:val=" "/>
    <w:docVar w:name="SEIS" w:val=" "/>
    <w:docVar w:name="SIETE" w:val=" "/>
    <w:docVar w:name="TOTALGASTOFDCAN" w:val="4950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5A06"/>
    <w:rsid w:val="00502F81"/>
    <w:rsid w:val="00522498"/>
    <w:rsid w:val="005273A0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1473B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F354-CBE1-4D29-8E69-79B2EE79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