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43191">
              <w:rPr>
                <w:rFonts w:eastAsia="Times New Roman" w:cs="Calibri"/>
                <w:color w:val="000000"/>
                <w:lang w:eastAsia="es-ES"/>
              </w:rPr>
              <w:t>Acceso Faro de Maspalomas (San Bartolomé de Tirajana)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E43191">
              <w:rPr>
                <w:rFonts w:eastAsia="Times New Roman" w:cs="Calibri"/>
                <w:b/>
                <w:bCs/>
                <w:color w:val="000000"/>
                <w:lang w:eastAsia="es-ES"/>
              </w:rPr>
              <w:t>300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43191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43191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43191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43191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43191">
              <w:rPr>
                <w:rFonts w:eastAsia="Times New Roman" w:cs="Calibri"/>
                <w:color w:val="000000"/>
                <w:lang w:eastAsia="es-ES"/>
              </w:rPr>
              <w:t>Turismo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E43191">
              <w:rPr>
                <w:rFonts w:eastAsia="Times New Roman" w:cs="Calibri"/>
                <w:b/>
                <w:color w:val="000000"/>
                <w:lang w:eastAsia="es-ES"/>
              </w:rPr>
              <w:t>1.128.929,61 €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E43191">
              <w:rPr>
                <w:rFonts w:cs="Calibri"/>
                <w:w w:val="99"/>
                <w:sz w:val="20"/>
                <w:szCs w:val="20"/>
              </w:rPr>
              <w:t>1.128.929,61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E43191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E43191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4319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4319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4319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4319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4319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4319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4319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4319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4319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43191">
              <w:rPr>
                <w:rFonts w:ascii="Arial" w:hAnsi="Arial" w:cs="Arial"/>
                <w:b/>
                <w:sz w:val="15"/>
                <w:szCs w:val="15"/>
              </w:rPr>
              <w:t>300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43191">
              <w:rPr>
                <w:rFonts w:ascii="Arial" w:hAnsi="Arial" w:cs="Arial"/>
                <w:b/>
                <w:sz w:val="15"/>
                <w:szCs w:val="15"/>
              </w:rPr>
              <w:t>Acceso Faro de Maspalomas (San Bartolomé de Tirajana)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4319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300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4319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Acceso Faro de Maspalomas (San Bartolomé de Tirajana)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E43191">
        <w:t>Turismo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Turismo"/>
    <w:docVar w:name="C-A" w:val="C"/>
    <w:docVar w:name="CINCO" w:val=" "/>
    <w:docVar w:name="codayto" w:val=" "/>
    <w:docVar w:name="CUATRO" w:val=" "/>
    <w:docVar w:name="denomaccion" w:val="Actuaciones en espacios públicos de alta potencialidad turística"/>
    <w:docVar w:name="denomactuac" w:val="Acceso Faro de Maspalomas (San Bartolomé de Tirajana)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300"/>
    <w:docVar w:name="FDCANELEG" w:val=" "/>
    <w:docVar w:name="le" w:val="2"/>
    <w:docVar w:name="linea" w:val="Línea 2: Inversión en infraestructuras"/>
    <w:docVar w:name="MUNICIPIO" w:val="Turismo"/>
    <w:docVar w:name="nuactuac" w:val="300"/>
    <w:docVar w:name="NUEVE" w:val=" "/>
    <w:docVar w:name="num" w:val="300.2023"/>
    <w:docVar w:name="numaccion" w:val="2.3.8"/>
    <w:docVar w:name="OCHO" w:val=" "/>
    <w:docVar w:name="SEIS" w:val=" "/>
    <w:docVar w:name="SIETE" w:val=" "/>
    <w:docVar w:name="TOTALGASTOFDCAN" w:val="1128929,61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5A06"/>
    <w:rsid w:val="00502F81"/>
    <w:rsid w:val="00522498"/>
    <w:rsid w:val="005273A0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1473B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6ECB7-C335-4914-A220-F69A2A02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