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Repavimentación vías de acceso al Carrizal de Tejeda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b/>
                <w:bCs/>
                <w:color w:val="000000"/>
                <w:lang w:eastAsia="es-ES"/>
              </w:rPr>
              <w:t>543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lang w:eastAsia="es-ES"/>
              </w:rPr>
              <w:t>TEJEDA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b/>
                <w:color w:val="000000"/>
                <w:lang w:eastAsia="es-ES"/>
              </w:rPr>
              <w:t>72.142,27 €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21C56">
              <w:rPr>
                <w:rFonts w:cs="Calibri"/>
                <w:w w:val="99"/>
                <w:sz w:val="20"/>
                <w:szCs w:val="20"/>
              </w:rPr>
              <w:t>72.142,27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21C5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21C5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21C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21C56">
              <w:rPr>
                <w:rFonts w:ascii="Arial" w:hAnsi="Arial" w:cs="Arial"/>
                <w:b/>
                <w:sz w:val="15"/>
                <w:szCs w:val="15"/>
              </w:rPr>
              <w:t>543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21C56">
              <w:rPr>
                <w:rFonts w:ascii="Arial" w:hAnsi="Arial" w:cs="Arial"/>
                <w:b/>
                <w:sz w:val="15"/>
                <w:szCs w:val="15"/>
              </w:rPr>
              <w:t>Repavimentación vías de acceso al Carrizal de Tejeda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921C56">
        <w:t>Tejeda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jeda"/>
    <w:docVar w:name="C-A" w:val="A"/>
    <w:docVar w:name="CINCO" w:val=" "/>
    <w:docVar w:name="codayto" w:val="16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pavimentación vías de acceso al Carrizal de Tejed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543"/>
    <w:docVar w:name="FDCANELEG" w:val=" "/>
    <w:docVar w:name="le" w:val="2"/>
    <w:docVar w:name="linea" w:val="Línea 2: Inversión en infraestructuras"/>
    <w:docVar w:name="MUNICIPIO" w:val="Tejeda"/>
    <w:docVar w:name="nuactuac" w:val="543"/>
    <w:docVar w:name="NUEVE" w:val=" "/>
    <w:docVar w:name="num" w:val="543.2023"/>
    <w:docVar w:name="numaccion" w:val="2.1.8"/>
    <w:docVar w:name="OCHO" w:val=" "/>
    <w:docVar w:name="SEIS" w:val=" "/>
    <w:docVar w:name="SIETE" w:val=" "/>
    <w:docVar w:name="TOTALGASTOFDCAN" w:val="72142,27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6B03-26D1-427E-B7BD-C9E95436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